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(Revisión estudio de caso)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Resuma brevemente por qué este caso es único. Deberá colocar la descripción del problema, presentar antecedentes para mostrar lagunas de conocimiento o necesidades prácticas de clínica.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 del caso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En esta sección resuma brevemente la singularidad del caso e información del paciente cuidando que no sea identificable; además mencioné su historial médico, familiar, entre otros; los principales síntomas o conductas problema del paciente; intervenciones pasadas relevantes y hallazgos clínicos importantes.</w:t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Describir los métodos de diagnóstico, desafíos, pronóstico, diagnóstico.</w:t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Intervención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Describir los métodos de intervención desde el tipo de tratamiento, la administración terapéutica, cambios en las intervenciones, entre otros.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Señalar los resultados obtenidos e incluso puede añadir la perspectiva del paciente sobre el tratamiento recibido, tolerabilidad de la intervención y eventos adversos e imprevistos.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Asimismo puede añadir aspectos del seguimiento y tratamiento.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Presente las fortalezas y limitaciones del abordaje del caso y discuta con la literatura actual.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Conclusión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En un párrafo señala la conclusión del estudio de caso.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Autorización: </w:t>
      </w:r>
      <w:r w:rsidDel="00000000" w:rsidR="00000000" w:rsidRPr="00000000">
        <w:rPr>
          <w:rtl w:val="0"/>
        </w:rPr>
        <w:t xml:space="preserve">Explicite contar con el consentimiento informado por parte del caso para exponer y publicar el caso de forma anónima. </w:t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